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2"/>
        <w:tblW w:w="9178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13"/>
        <w:gridCol w:w="1310"/>
        <w:gridCol w:w="1310"/>
        <w:gridCol w:w="1310"/>
        <w:gridCol w:w="1310"/>
        <w:gridCol w:w="1310"/>
        <w:gridCol w:w="131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31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单位</w:t>
            </w:r>
          </w:p>
        </w:tc>
        <w:tc>
          <w:tcPr>
            <w:tcW w:w="7865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大同2026年二季度电压合格率和供电可靠率情况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5" w:hRule="atLeast"/>
          <w:jc w:val="center"/>
        </w:trPr>
        <w:tc>
          <w:tcPr>
            <w:tcW w:w="131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3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Style w:val="4"/>
                <w:rFonts w:hint="eastAsia" w:asciiTheme="majorEastAsia" w:hAnsiTheme="majorEastAsia" w:eastAsiaTheme="majorEastAsia" w:cstheme="majorEastAsia"/>
                <w:sz w:val="18"/>
                <w:szCs w:val="18"/>
                <w:lang w:val="en-US" w:eastAsia="zh-CN" w:bidi="ar"/>
              </w:rPr>
              <w:t>城网供电电压合格率（</w:t>
            </w:r>
            <w:r>
              <w:rPr>
                <w:rStyle w:val="5"/>
                <w:rFonts w:hint="eastAsia" w:asciiTheme="majorEastAsia" w:hAnsiTheme="majorEastAsia" w:eastAsiaTheme="majorEastAsia" w:cstheme="majorEastAsia"/>
                <w:sz w:val="18"/>
                <w:szCs w:val="18"/>
                <w:lang w:val="en-US" w:eastAsia="zh-CN" w:bidi="ar"/>
              </w:rPr>
              <w:t>%</w:t>
            </w:r>
            <w:r>
              <w:rPr>
                <w:rStyle w:val="4"/>
                <w:rFonts w:hint="eastAsia" w:asciiTheme="majorEastAsia" w:hAnsiTheme="majorEastAsia" w:eastAsiaTheme="majorEastAsia" w:cstheme="majorEastAsia"/>
                <w:sz w:val="18"/>
                <w:szCs w:val="18"/>
                <w:lang w:val="en-US" w:eastAsia="zh-CN" w:bidi="ar"/>
              </w:rPr>
              <w:t>）</w:t>
            </w:r>
          </w:p>
        </w:tc>
        <w:tc>
          <w:tcPr>
            <w:tcW w:w="13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Style w:val="4"/>
                <w:rFonts w:hint="eastAsia" w:asciiTheme="majorEastAsia" w:hAnsiTheme="majorEastAsia" w:eastAsiaTheme="majorEastAsia" w:cstheme="majorEastAsia"/>
                <w:sz w:val="18"/>
                <w:szCs w:val="18"/>
                <w:lang w:val="en-US" w:eastAsia="zh-CN" w:bidi="ar"/>
              </w:rPr>
              <w:t>农网供电电压合格率（</w:t>
            </w:r>
            <w:r>
              <w:rPr>
                <w:rStyle w:val="5"/>
                <w:rFonts w:hint="eastAsia" w:asciiTheme="majorEastAsia" w:hAnsiTheme="majorEastAsia" w:eastAsiaTheme="majorEastAsia" w:cstheme="majorEastAsia"/>
                <w:sz w:val="18"/>
                <w:szCs w:val="18"/>
                <w:lang w:val="en-US" w:eastAsia="zh-CN" w:bidi="ar"/>
              </w:rPr>
              <w:t>%</w:t>
            </w:r>
            <w:r>
              <w:rPr>
                <w:rStyle w:val="4"/>
                <w:rFonts w:hint="eastAsia" w:asciiTheme="majorEastAsia" w:hAnsiTheme="majorEastAsia" w:eastAsiaTheme="majorEastAsia" w:cstheme="majorEastAsia"/>
                <w:sz w:val="18"/>
                <w:szCs w:val="18"/>
                <w:lang w:val="en-US" w:eastAsia="zh-CN" w:bidi="ar"/>
              </w:rPr>
              <w:t>）</w:t>
            </w:r>
          </w:p>
        </w:tc>
        <w:tc>
          <w:tcPr>
            <w:tcW w:w="13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Style w:val="4"/>
                <w:rFonts w:hint="eastAsia" w:asciiTheme="majorEastAsia" w:hAnsiTheme="majorEastAsia" w:eastAsiaTheme="majorEastAsia" w:cstheme="majorEastAsia"/>
                <w:sz w:val="18"/>
                <w:szCs w:val="18"/>
                <w:lang w:val="en-US" w:eastAsia="zh-CN" w:bidi="ar"/>
              </w:rPr>
              <w:t>综合供电电压合格率（</w:t>
            </w:r>
            <w:r>
              <w:rPr>
                <w:rStyle w:val="5"/>
                <w:rFonts w:hint="eastAsia" w:asciiTheme="majorEastAsia" w:hAnsiTheme="majorEastAsia" w:eastAsiaTheme="majorEastAsia" w:cstheme="majorEastAsia"/>
                <w:sz w:val="18"/>
                <w:szCs w:val="18"/>
                <w:lang w:val="en-US" w:eastAsia="zh-CN" w:bidi="ar"/>
              </w:rPr>
              <w:t>%</w:t>
            </w:r>
            <w:r>
              <w:rPr>
                <w:rStyle w:val="4"/>
                <w:rFonts w:hint="eastAsia" w:asciiTheme="majorEastAsia" w:hAnsiTheme="majorEastAsia" w:eastAsiaTheme="majorEastAsia" w:cstheme="majorEastAsia"/>
                <w:sz w:val="18"/>
                <w:szCs w:val="18"/>
                <w:lang w:val="en-US" w:eastAsia="zh-CN" w:bidi="ar"/>
              </w:rPr>
              <w:t>）</w:t>
            </w:r>
          </w:p>
        </w:tc>
        <w:tc>
          <w:tcPr>
            <w:tcW w:w="13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Style w:val="4"/>
                <w:rFonts w:hint="eastAsia" w:asciiTheme="majorEastAsia" w:hAnsiTheme="majorEastAsia" w:eastAsiaTheme="majorEastAsia" w:cstheme="majorEastAsia"/>
                <w:sz w:val="18"/>
                <w:szCs w:val="18"/>
                <w:lang w:val="en-US" w:eastAsia="zh-CN" w:bidi="ar"/>
              </w:rPr>
              <w:t>城网供电可靠率</w:t>
            </w:r>
            <w:r>
              <w:rPr>
                <w:rStyle w:val="5"/>
                <w:rFonts w:hint="eastAsia" w:asciiTheme="majorEastAsia" w:hAnsiTheme="majorEastAsia" w:eastAsiaTheme="majorEastAsia" w:cstheme="majorEastAsia"/>
                <w:sz w:val="18"/>
                <w:szCs w:val="18"/>
                <w:lang w:val="en-US" w:eastAsia="zh-CN" w:bidi="ar"/>
              </w:rPr>
              <w:t>RS-1</w:t>
            </w:r>
            <w:r>
              <w:rPr>
                <w:rStyle w:val="4"/>
                <w:rFonts w:hint="eastAsia" w:asciiTheme="majorEastAsia" w:hAnsiTheme="majorEastAsia" w:eastAsiaTheme="majorEastAsia" w:cstheme="majorEastAsia"/>
                <w:sz w:val="18"/>
                <w:szCs w:val="18"/>
                <w:lang w:val="en-US" w:eastAsia="zh-CN" w:bidi="ar"/>
              </w:rPr>
              <w:t>（</w:t>
            </w:r>
            <w:r>
              <w:rPr>
                <w:rStyle w:val="5"/>
                <w:rFonts w:hint="eastAsia" w:asciiTheme="majorEastAsia" w:hAnsiTheme="majorEastAsia" w:eastAsiaTheme="majorEastAsia" w:cstheme="majorEastAsia"/>
                <w:sz w:val="18"/>
                <w:szCs w:val="18"/>
                <w:lang w:val="en-US" w:eastAsia="zh-CN" w:bidi="ar"/>
              </w:rPr>
              <w:t>%</w:t>
            </w:r>
            <w:r>
              <w:rPr>
                <w:rStyle w:val="4"/>
                <w:rFonts w:hint="eastAsia" w:asciiTheme="majorEastAsia" w:hAnsiTheme="majorEastAsia" w:eastAsiaTheme="majorEastAsia" w:cstheme="majorEastAsia"/>
                <w:sz w:val="18"/>
                <w:szCs w:val="18"/>
                <w:lang w:val="en-US" w:eastAsia="zh-CN" w:bidi="ar"/>
              </w:rPr>
              <w:t>）</w:t>
            </w:r>
          </w:p>
        </w:tc>
        <w:tc>
          <w:tcPr>
            <w:tcW w:w="13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Style w:val="4"/>
                <w:rFonts w:hint="eastAsia" w:asciiTheme="majorEastAsia" w:hAnsiTheme="majorEastAsia" w:eastAsiaTheme="majorEastAsia" w:cstheme="majorEastAsia"/>
                <w:sz w:val="18"/>
                <w:szCs w:val="18"/>
                <w:lang w:val="en-US" w:eastAsia="zh-CN" w:bidi="ar"/>
              </w:rPr>
              <w:t>农网供电可靠率</w:t>
            </w:r>
            <w:r>
              <w:rPr>
                <w:rStyle w:val="5"/>
                <w:rFonts w:hint="eastAsia" w:asciiTheme="majorEastAsia" w:hAnsiTheme="majorEastAsia" w:eastAsiaTheme="majorEastAsia" w:cstheme="majorEastAsia"/>
                <w:sz w:val="18"/>
                <w:szCs w:val="18"/>
                <w:lang w:val="en-US" w:eastAsia="zh-CN" w:bidi="ar"/>
              </w:rPr>
              <w:t>RS-1</w:t>
            </w:r>
            <w:r>
              <w:rPr>
                <w:rStyle w:val="4"/>
                <w:rFonts w:hint="eastAsia" w:asciiTheme="majorEastAsia" w:hAnsiTheme="majorEastAsia" w:eastAsiaTheme="majorEastAsia" w:cstheme="majorEastAsia"/>
                <w:sz w:val="18"/>
                <w:szCs w:val="18"/>
                <w:lang w:val="en-US" w:eastAsia="zh-CN" w:bidi="ar"/>
              </w:rPr>
              <w:t>（</w:t>
            </w:r>
            <w:r>
              <w:rPr>
                <w:rStyle w:val="5"/>
                <w:rFonts w:hint="eastAsia" w:asciiTheme="majorEastAsia" w:hAnsiTheme="majorEastAsia" w:eastAsiaTheme="majorEastAsia" w:cstheme="majorEastAsia"/>
                <w:sz w:val="18"/>
                <w:szCs w:val="18"/>
                <w:lang w:val="en-US" w:eastAsia="zh-CN" w:bidi="ar"/>
              </w:rPr>
              <w:t>%</w:t>
            </w:r>
            <w:r>
              <w:rPr>
                <w:rStyle w:val="4"/>
                <w:rFonts w:hint="eastAsia" w:asciiTheme="majorEastAsia" w:hAnsiTheme="majorEastAsia" w:eastAsiaTheme="majorEastAsia" w:cstheme="majorEastAsia"/>
                <w:sz w:val="18"/>
                <w:szCs w:val="18"/>
                <w:lang w:val="en-US" w:eastAsia="zh-CN" w:bidi="ar"/>
              </w:rPr>
              <w:t>）</w:t>
            </w:r>
          </w:p>
        </w:tc>
        <w:tc>
          <w:tcPr>
            <w:tcW w:w="13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Style w:val="4"/>
                <w:rFonts w:hint="eastAsia" w:asciiTheme="majorEastAsia" w:hAnsiTheme="majorEastAsia" w:eastAsiaTheme="majorEastAsia" w:cstheme="majorEastAsia"/>
                <w:sz w:val="18"/>
                <w:szCs w:val="18"/>
                <w:lang w:val="en-US" w:eastAsia="zh-CN" w:bidi="ar"/>
              </w:rPr>
              <w:t>综合供电可靠率</w:t>
            </w:r>
            <w:r>
              <w:rPr>
                <w:rStyle w:val="5"/>
                <w:rFonts w:hint="eastAsia" w:asciiTheme="majorEastAsia" w:hAnsiTheme="majorEastAsia" w:eastAsiaTheme="majorEastAsia" w:cstheme="majorEastAsia"/>
                <w:sz w:val="18"/>
                <w:szCs w:val="18"/>
                <w:lang w:val="en-US" w:eastAsia="zh-CN" w:bidi="ar"/>
              </w:rPr>
              <w:t>RS-1</w:t>
            </w:r>
            <w:r>
              <w:rPr>
                <w:rStyle w:val="4"/>
                <w:rFonts w:hint="eastAsia" w:asciiTheme="majorEastAsia" w:hAnsiTheme="majorEastAsia" w:eastAsiaTheme="majorEastAsia" w:cstheme="majorEastAsia"/>
                <w:sz w:val="18"/>
                <w:szCs w:val="18"/>
                <w:lang w:val="en-US" w:eastAsia="zh-CN" w:bidi="ar"/>
              </w:rPr>
              <w:t>（</w:t>
            </w:r>
            <w:r>
              <w:rPr>
                <w:rStyle w:val="5"/>
                <w:rFonts w:hint="eastAsia" w:asciiTheme="majorEastAsia" w:hAnsiTheme="majorEastAsia" w:eastAsiaTheme="majorEastAsia" w:cstheme="majorEastAsia"/>
                <w:sz w:val="18"/>
                <w:szCs w:val="18"/>
                <w:lang w:val="en-US" w:eastAsia="zh-CN" w:bidi="ar"/>
              </w:rPr>
              <w:t>%</w:t>
            </w:r>
            <w:r>
              <w:rPr>
                <w:rStyle w:val="4"/>
                <w:rFonts w:hint="eastAsia" w:asciiTheme="majorEastAsia" w:hAnsiTheme="majorEastAsia" w:eastAsiaTheme="majorEastAsia" w:cstheme="majorEastAsia"/>
                <w:sz w:val="18"/>
                <w:szCs w:val="18"/>
                <w:lang w:val="en-US" w:eastAsia="zh-CN" w:bidi="ar"/>
              </w:rPr>
              <w:t>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13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Theme="majorEastAsia" w:hAnsiTheme="majorEastAsia" w:eastAsiaTheme="majorEastAsia" w:cstheme="majorEastAsia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default" w:ascii="Arial Unicode MS" w:hAnsi="Arial Unicode MS" w:eastAsia="Arial Unicode MS" w:cs="Arial Unicode MS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国网大同供电公司</w:t>
            </w:r>
          </w:p>
        </w:tc>
        <w:tc>
          <w:tcPr>
            <w:tcW w:w="13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 Unicode MS" w:hAnsi="Arial Unicode MS" w:eastAsia="Arial Unicode MS" w:cs="Arial Unicode MS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99.992 </w:t>
            </w:r>
          </w:p>
        </w:tc>
        <w:tc>
          <w:tcPr>
            <w:tcW w:w="13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 Unicode MS" w:hAnsi="Arial Unicode MS" w:eastAsia="Arial Unicode MS" w:cs="Arial Unicode MS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99.979 </w:t>
            </w:r>
          </w:p>
        </w:tc>
        <w:tc>
          <w:tcPr>
            <w:tcW w:w="13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 Unicode MS" w:hAnsi="Arial Unicode MS" w:eastAsia="Arial Unicode MS" w:cs="Arial Unicode MS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99.985 </w:t>
            </w:r>
          </w:p>
        </w:tc>
        <w:tc>
          <w:tcPr>
            <w:tcW w:w="13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 Unicode MS" w:hAnsi="Arial Unicode MS" w:eastAsia="Arial Unicode MS" w:cs="Arial Unicode MS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99.9916</w:t>
            </w:r>
          </w:p>
        </w:tc>
        <w:tc>
          <w:tcPr>
            <w:tcW w:w="13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 Unicode MS" w:hAnsi="Arial Unicode MS" w:eastAsia="Arial Unicode MS" w:cs="Arial Unicode MS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99.9444</w:t>
            </w:r>
          </w:p>
        </w:tc>
        <w:tc>
          <w:tcPr>
            <w:tcW w:w="13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 Unicode MS" w:hAnsi="Arial Unicode MS" w:eastAsia="Arial Unicode MS" w:cs="Arial Unicode MS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99.9482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13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Theme="majorEastAsia" w:hAnsiTheme="majorEastAsia" w:eastAsiaTheme="majorEastAsia" w:cstheme="majorEastAsia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default" w:ascii="Arial Unicode MS" w:hAnsi="Arial Unicode MS" w:eastAsia="Arial Unicode MS" w:cs="Arial Unicode MS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国网</w:t>
            </w:r>
            <w:r>
              <w:rPr>
                <w:rFonts w:hint="eastAsia" w:ascii="Arial Unicode MS" w:hAnsi="Arial Unicode MS" w:eastAsia="Arial Unicode MS" w:cs="Arial Unicode MS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大同</w:t>
            </w:r>
            <w:bookmarkStart w:id="0" w:name="_GoBack"/>
            <w:bookmarkEnd w:id="0"/>
            <w:r>
              <w:rPr>
                <w:rFonts w:hint="eastAsia" w:ascii="Arial Unicode MS" w:hAnsi="Arial Unicode MS" w:eastAsia="Arial Unicode MS" w:cs="Arial Unicode MS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平城区供电公司</w:t>
            </w:r>
          </w:p>
        </w:tc>
        <w:tc>
          <w:tcPr>
            <w:tcW w:w="13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 Unicode MS" w:hAnsi="Arial Unicode MS" w:eastAsia="Arial Unicode MS" w:cs="Arial Unicode MS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99.995 </w:t>
            </w:r>
          </w:p>
        </w:tc>
        <w:tc>
          <w:tcPr>
            <w:tcW w:w="13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 Unicode MS" w:hAnsi="Arial Unicode MS" w:eastAsia="Arial Unicode MS" w:cs="Arial Unicode MS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/</w:t>
            </w:r>
          </w:p>
        </w:tc>
        <w:tc>
          <w:tcPr>
            <w:tcW w:w="13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 Unicode MS" w:hAnsi="Arial Unicode MS" w:eastAsia="Arial Unicode MS" w:cs="Arial Unicode MS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99.995 </w:t>
            </w:r>
          </w:p>
        </w:tc>
        <w:tc>
          <w:tcPr>
            <w:tcW w:w="13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 Unicode MS" w:hAnsi="Arial Unicode MS" w:eastAsia="Arial Unicode MS" w:cs="Arial Unicode MS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99.9923</w:t>
            </w:r>
          </w:p>
        </w:tc>
        <w:tc>
          <w:tcPr>
            <w:tcW w:w="13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 Unicode MS" w:hAnsi="Arial Unicode MS" w:eastAsia="Arial Unicode MS" w:cs="Arial Unicode MS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99.9863</w:t>
            </w:r>
          </w:p>
        </w:tc>
        <w:tc>
          <w:tcPr>
            <w:tcW w:w="13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 Unicode MS" w:hAnsi="Arial Unicode MS" w:eastAsia="Arial Unicode MS" w:cs="Arial Unicode MS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99.9912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13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default" w:ascii="Arial Unicode MS" w:hAnsi="Arial Unicode MS" w:eastAsia="Arial Unicode MS" w:cs="Arial Unicode MS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国网大同市新荣区供电公司</w:t>
            </w:r>
          </w:p>
        </w:tc>
        <w:tc>
          <w:tcPr>
            <w:tcW w:w="13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 Unicode MS" w:hAnsi="Arial Unicode MS" w:eastAsia="Arial Unicode MS" w:cs="Arial Unicode MS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99.998 </w:t>
            </w:r>
          </w:p>
        </w:tc>
        <w:tc>
          <w:tcPr>
            <w:tcW w:w="13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 Unicode MS" w:hAnsi="Arial Unicode MS" w:eastAsia="Arial Unicode MS" w:cs="Arial Unicode MS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99.998 </w:t>
            </w:r>
          </w:p>
        </w:tc>
        <w:tc>
          <w:tcPr>
            <w:tcW w:w="13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 Unicode MS" w:hAnsi="Arial Unicode MS" w:eastAsia="Arial Unicode MS" w:cs="Arial Unicode MS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99.998 </w:t>
            </w:r>
          </w:p>
        </w:tc>
        <w:tc>
          <w:tcPr>
            <w:tcW w:w="13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 Unicode MS" w:hAnsi="Arial Unicode MS" w:eastAsia="Arial Unicode MS" w:cs="Arial Unicode MS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</w:t>
            </w:r>
          </w:p>
        </w:tc>
        <w:tc>
          <w:tcPr>
            <w:tcW w:w="13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 Unicode MS" w:hAnsi="Arial Unicode MS" w:eastAsia="Arial Unicode MS" w:cs="Arial Unicode MS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99.968</w:t>
            </w:r>
          </w:p>
        </w:tc>
        <w:tc>
          <w:tcPr>
            <w:tcW w:w="13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 Unicode MS" w:hAnsi="Arial Unicode MS" w:eastAsia="Arial Unicode MS" w:cs="Arial Unicode MS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99.968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13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default" w:ascii="Arial Unicode MS" w:hAnsi="Arial Unicode MS" w:eastAsia="Arial Unicode MS" w:cs="Arial Unicode MS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国网浑源县供电公司</w:t>
            </w:r>
          </w:p>
        </w:tc>
        <w:tc>
          <w:tcPr>
            <w:tcW w:w="13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 Unicode MS" w:hAnsi="Arial Unicode MS" w:eastAsia="Arial Unicode MS" w:cs="Arial Unicode MS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99.989 </w:t>
            </w:r>
          </w:p>
        </w:tc>
        <w:tc>
          <w:tcPr>
            <w:tcW w:w="13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 Unicode MS" w:hAnsi="Arial Unicode MS" w:eastAsia="Arial Unicode MS" w:cs="Arial Unicode MS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99.982 </w:t>
            </w:r>
          </w:p>
        </w:tc>
        <w:tc>
          <w:tcPr>
            <w:tcW w:w="13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 Unicode MS" w:hAnsi="Arial Unicode MS" w:eastAsia="Arial Unicode MS" w:cs="Arial Unicode MS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99.984 </w:t>
            </w:r>
          </w:p>
        </w:tc>
        <w:tc>
          <w:tcPr>
            <w:tcW w:w="13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 Unicode MS" w:hAnsi="Arial Unicode MS" w:eastAsia="Arial Unicode MS" w:cs="Arial Unicode MS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</w:t>
            </w:r>
          </w:p>
        </w:tc>
        <w:tc>
          <w:tcPr>
            <w:tcW w:w="13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 Unicode MS" w:hAnsi="Arial Unicode MS" w:eastAsia="Arial Unicode MS" w:cs="Arial Unicode MS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99.9609</w:t>
            </w:r>
          </w:p>
        </w:tc>
        <w:tc>
          <w:tcPr>
            <w:tcW w:w="13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 Unicode MS" w:hAnsi="Arial Unicode MS" w:eastAsia="Arial Unicode MS" w:cs="Arial Unicode MS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99.9609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13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default" w:ascii="Arial Unicode MS" w:hAnsi="Arial Unicode MS" w:eastAsia="Arial Unicode MS" w:cs="Arial Unicode MS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国网灵丘县供电公司</w:t>
            </w:r>
          </w:p>
        </w:tc>
        <w:tc>
          <w:tcPr>
            <w:tcW w:w="13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 Unicode MS" w:hAnsi="Arial Unicode MS" w:eastAsia="Arial Unicode MS" w:cs="Arial Unicode MS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99.987 </w:t>
            </w:r>
          </w:p>
        </w:tc>
        <w:tc>
          <w:tcPr>
            <w:tcW w:w="13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 Unicode MS" w:hAnsi="Arial Unicode MS" w:eastAsia="Arial Unicode MS" w:cs="Arial Unicode MS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99.981 </w:t>
            </w:r>
          </w:p>
        </w:tc>
        <w:tc>
          <w:tcPr>
            <w:tcW w:w="13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 Unicode MS" w:hAnsi="Arial Unicode MS" w:eastAsia="Arial Unicode MS" w:cs="Arial Unicode MS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99.984 </w:t>
            </w:r>
          </w:p>
        </w:tc>
        <w:tc>
          <w:tcPr>
            <w:tcW w:w="13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 Unicode MS" w:hAnsi="Arial Unicode MS" w:eastAsia="Arial Unicode MS" w:cs="Arial Unicode MS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</w:t>
            </w:r>
          </w:p>
        </w:tc>
        <w:tc>
          <w:tcPr>
            <w:tcW w:w="13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 Unicode MS" w:hAnsi="Arial Unicode MS" w:eastAsia="Arial Unicode MS" w:cs="Arial Unicode MS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99.948</w:t>
            </w:r>
          </w:p>
        </w:tc>
        <w:tc>
          <w:tcPr>
            <w:tcW w:w="13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 Unicode MS" w:hAnsi="Arial Unicode MS" w:eastAsia="Arial Unicode MS" w:cs="Arial Unicode MS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99.9481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13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default" w:ascii="Arial Unicode MS" w:hAnsi="Arial Unicode MS" w:eastAsia="Arial Unicode MS" w:cs="Arial Unicode MS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国网广灵县供电公司</w:t>
            </w:r>
          </w:p>
        </w:tc>
        <w:tc>
          <w:tcPr>
            <w:tcW w:w="13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 Unicode MS" w:hAnsi="Arial Unicode MS" w:eastAsia="Arial Unicode MS" w:cs="Arial Unicode MS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99.998 </w:t>
            </w:r>
          </w:p>
        </w:tc>
        <w:tc>
          <w:tcPr>
            <w:tcW w:w="13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 Unicode MS" w:hAnsi="Arial Unicode MS" w:eastAsia="Arial Unicode MS" w:cs="Arial Unicode MS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99.959 </w:t>
            </w:r>
          </w:p>
        </w:tc>
        <w:tc>
          <w:tcPr>
            <w:tcW w:w="13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 Unicode MS" w:hAnsi="Arial Unicode MS" w:eastAsia="Arial Unicode MS" w:cs="Arial Unicode MS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99.974 </w:t>
            </w:r>
          </w:p>
        </w:tc>
        <w:tc>
          <w:tcPr>
            <w:tcW w:w="13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 Unicode MS" w:hAnsi="Arial Unicode MS" w:eastAsia="Arial Unicode MS" w:cs="Arial Unicode MS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</w:t>
            </w:r>
          </w:p>
        </w:tc>
        <w:tc>
          <w:tcPr>
            <w:tcW w:w="13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 Unicode MS" w:hAnsi="Arial Unicode MS" w:eastAsia="Arial Unicode MS" w:cs="Arial Unicode MS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99.9681</w:t>
            </w:r>
          </w:p>
        </w:tc>
        <w:tc>
          <w:tcPr>
            <w:tcW w:w="13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 Unicode MS" w:hAnsi="Arial Unicode MS" w:eastAsia="Arial Unicode MS" w:cs="Arial Unicode MS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99.9681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13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default" w:ascii="Arial Unicode MS" w:hAnsi="Arial Unicode MS" w:eastAsia="Arial Unicode MS" w:cs="Arial Unicode MS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国网阳高县供电公司</w:t>
            </w:r>
          </w:p>
        </w:tc>
        <w:tc>
          <w:tcPr>
            <w:tcW w:w="13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 Unicode MS" w:hAnsi="Arial Unicode MS" w:eastAsia="Arial Unicode MS" w:cs="Arial Unicode MS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99.994 </w:t>
            </w:r>
          </w:p>
        </w:tc>
        <w:tc>
          <w:tcPr>
            <w:tcW w:w="13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 Unicode MS" w:hAnsi="Arial Unicode MS" w:eastAsia="Arial Unicode MS" w:cs="Arial Unicode MS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99.961 </w:t>
            </w:r>
          </w:p>
        </w:tc>
        <w:tc>
          <w:tcPr>
            <w:tcW w:w="13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 Unicode MS" w:hAnsi="Arial Unicode MS" w:eastAsia="Arial Unicode MS" w:cs="Arial Unicode MS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99.969 </w:t>
            </w:r>
          </w:p>
        </w:tc>
        <w:tc>
          <w:tcPr>
            <w:tcW w:w="13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 Unicode MS" w:hAnsi="Arial Unicode MS" w:eastAsia="Arial Unicode MS" w:cs="Arial Unicode MS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99.7007</w:t>
            </w:r>
          </w:p>
        </w:tc>
        <w:tc>
          <w:tcPr>
            <w:tcW w:w="13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 Unicode MS" w:hAnsi="Arial Unicode MS" w:eastAsia="Arial Unicode MS" w:cs="Arial Unicode MS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99.8924</w:t>
            </w:r>
          </w:p>
        </w:tc>
        <w:tc>
          <w:tcPr>
            <w:tcW w:w="13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 Unicode MS" w:hAnsi="Arial Unicode MS" w:eastAsia="Arial Unicode MS" w:cs="Arial Unicode MS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99.8921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13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default" w:ascii="Arial Unicode MS" w:hAnsi="Arial Unicode MS" w:eastAsia="Arial Unicode MS" w:cs="Arial Unicode MS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国网天镇县供电公司</w:t>
            </w:r>
          </w:p>
        </w:tc>
        <w:tc>
          <w:tcPr>
            <w:tcW w:w="13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 Unicode MS" w:hAnsi="Arial Unicode MS" w:eastAsia="Arial Unicode MS" w:cs="Arial Unicode MS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99.963 </w:t>
            </w:r>
          </w:p>
        </w:tc>
        <w:tc>
          <w:tcPr>
            <w:tcW w:w="13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 Unicode MS" w:hAnsi="Arial Unicode MS" w:eastAsia="Arial Unicode MS" w:cs="Arial Unicode MS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99.978 </w:t>
            </w:r>
          </w:p>
        </w:tc>
        <w:tc>
          <w:tcPr>
            <w:tcW w:w="13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 Unicode MS" w:hAnsi="Arial Unicode MS" w:eastAsia="Arial Unicode MS" w:cs="Arial Unicode MS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99.975 </w:t>
            </w:r>
          </w:p>
        </w:tc>
        <w:tc>
          <w:tcPr>
            <w:tcW w:w="13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 Unicode MS" w:hAnsi="Arial Unicode MS" w:eastAsia="Arial Unicode MS" w:cs="Arial Unicode MS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</w:t>
            </w:r>
          </w:p>
        </w:tc>
        <w:tc>
          <w:tcPr>
            <w:tcW w:w="13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 Unicode MS" w:hAnsi="Arial Unicode MS" w:eastAsia="Arial Unicode MS" w:cs="Arial Unicode MS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99.9481</w:t>
            </w:r>
          </w:p>
        </w:tc>
        <w:tc>
          <w:tcPr>
            <w:tcW w:w="13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 Unicode MS" w:hAnsi="Arial Unicode MS" w:eastAsia="Arial Unicode MS" w:cs="Arial Unicode MS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99.9481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13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default" w:ascii="Arial Unicode MS" w:hAnsi="Arial Unicode MS" w:eastAsia="Arial Unicode MS" w:cs="Arial Unicode MS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国网左云县供电公司</w:t>
            </w:r>
          </w:p>
        </w:tc>
        <w:tc>
          <w:tcPr>
            <w:tcW w:w="13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 Unicode MS" w:hAnsi="Arial Unicode MS" w:eastAsia="Arial Unicode MS" w:cs="Arial Unicode MS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99.994 </w:t>
            </w:r>
          </w:p>
        </w:tc>
        <w:tc>
          <w:tcPr>
            <w:tcW w:w="13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 Unicode MS" w:hAnsi="Arial Unicode MS" w:eastAsia="Arial Unicode MS" w:cs="Arial Unicode MS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99.987 </w:t>
            </w:r>
          </w:p>
        </w:tc>
        <w:tc>
          <w:tcPr>
            <w:tcW w:w="13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 Unicode MS" w:hAnsi="Arial Unicode MS" w:eastAsia="Arial Unicode MS" w:cs="Arial Unicode MS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99.989 </w:t>
            </w:r>
          </w:p>
        </w:tc>
        <w:tc>
          <w:tcPr>
            <w:tcW w:w="13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 Unicode MS" w:hAnsi="Arial Unicode MS" w:eastAsia="Arial Unicode MS" w:cs="Arial Unicode MS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</w:t>
            </w:r>
          </w:p>
        </w:tc>
        <w:tc>
          <w:tcPr>
            <w:tcW w:w="13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 Unicode MS" w:hAnsi="Arial Unicode MS" w:eastAsia="Arial Unicode MS" w:cs="Arial Unicode MS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99.8663</w:t>
            </w:r>
          </w:p>
        </w:tc>
        <w:tc>
          <w:tcPr>
            <w:tcW w:w="13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 Unicode MS" w:hAnsi="Arial Unicode MS" w:eastAsia="Arial Unicode MS" w:cs="Arial Unicode MS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99.8664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13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default" w:ascii="Arial Unicode MS" w:hAnsi="Arial Unicode MS" w:eastAsia="Arial Unicode MS" w:cs="Arial Unicode MS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国网大同市云冈区供电公司</w:t>
            </w:r>
          </w:p>
        </w:tc>
        <w:tc>
          <w:tcPr>
            <w:tcW w:w="13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 Unicode MS" w:hAnsi="Arial Unicode MS" w:eastAsia="Arial Unicode MS" w:cs="Arial Unicode MS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99.995 </w:t>
            </w:r>
          </w:p>
        </w:tc>
        <w:tc>
          <w:tcPr>
            <w:tcW w:w="13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 Unicode MS" w:hAnsi="Arial Unicode MS" w:eastAsia="Arial Unicode MS" w:cs="Arial Unicode MS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99.979 </w:t>
            </w:r>
          </w:p>
        </w:tc>
        <w:tc>
          <w:tcPr>
            <w:tcW w:w="13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 Unicode MS" w:hAnsi="Arial Unicode MS" w:eastAsia="Arial Unicode MS" w:cs="Arial Unicode MS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99.985 </w:t>
            </w:r>
          </w:p>
        </w:tc>
        <w:tc>
          <w:tcPr>
            <w:tcW w:w="13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 Unicode MS" w:hAnsi="Arial Unicode MS" w:eastAsia="Arial Unicode MS" w:cs="Arial Unicode MS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99.9922</w:t>
            </w:r>
          </w:p>
        </w:tc>
        <w:tc>
          <w:tcPr>
            <w:tcW w:w="13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 Unicode MS" w:hAnsi="Arial Unicode MS" w:eastAsia="Arial Unicode MS" w:cs="Arial Unicode MS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99.9562</w:t>
            </w:r>
          </w:p>
        </w:tc>
        <w:tc>
          <w:tcPr>
            <w:tcW w:w="13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 Unicode MS" w:hAnsi="Arial Unicode MS" w:eastAsia="Arial Unicode MS" w:cs="Arial Unicode MS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99.9566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13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default" w:ascii="Arial Unicode MS" w:hAnsi="Arial Unicode MS" w:eastAsia="Arial Unicode MS" w:cs="Arial Unicode MS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国网大同市云州区供电公司</w:t>
            </w:r>
          </w:p>
        </w:tc>
        <w:tc>
          <w:tcPr>
            <w:tcW w:w="13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 Unicode MS" w:hAnsi="Arial Unicode MS" w:eastAsia="Arial Unicode MS" w:cs="Arial Unicode MS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99.992 </w:t>
            </w:r>
          </w:p>
        </w:tc>
        <w:tc>
          <w:tcPr>
            <w:tcW w:w="13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 Unicode MS" w:hAnsi="Arial Unicode MS" w:eastAsia="Arial Unicode MS" w:cs="Arial Unicode MS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99.988 </w:t>
            </w:r>
          </w:p>
        </w:tc>
        <w:tc>
          <w:tcPr>
            <w:tcW w:w="13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 Unicode MS" w:hAnsi="Arial Unicode MS" w:eastAsia="Arial Unicode MS" w:cs="Arial Unicode MS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99.989 </w:t>
            </w:r>
          </w:p>
        </w:tc>
        <w:tc>
          <w:tcPr>
            <w:tcW w:w="13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 Unicode MS" w:hAnsi="Arial Unicode MS" w:eastAsia="Arial Unicode MS" w:cs="Arial Unicode MS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99.947</w:t>
            </w:r>
          </w:p>
        </w:tc>
        <w:tc>
          <w:tcPr>
            <w:tcW w:w="13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 Unicode MS" w:hAnsi="Arial Unicode MS" w:eastAsia="Arial Unicode MS" w:cs="Arial Unicode MS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99.9412</w:t>
            </w:r>
          </w:p>
        </w:tc>
        <w:tc>
          <w:tcPr>
            <w:tcW w:w="13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 Unicode MS" w:hAnsi="Arial Unicode MS" w:eastAsia="Arial Unicode MS" w:cs="Arial Unicode MS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99.9412</w:t>
            </w: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rial Unicode MS">
    <w:altName w:val="Arial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0D16187"/>
    <w:rsid w:val="226E20E9"/>
    <w:rsid w:val="2B092381"/>
    <w:rsid w:val="70D161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4">
    <w:name w:val="font41"/>
    <w:basedOn w:val="3"/>
    <w:qFormat/>
    <w:uiPriority w:val="0"/>
    <w:rPr>
      <w:rFonts w:hint="eastAsia" w:ascii="宋体" w:hAnsi="宋体" w:eastAsia="宋体" w:cs="宋体"/>
      <w:color w:val="000000"/>
      <w:sz w:val="18"/>
      <w:szCs w:val="18"/>
      <w:u w:val="none"/>
    </w:rPr>
  </w:style>
  <w:style w:type="character" w:customStyle="1" w:styleId="5">
    <w:name w:val="font01"/>
    <w:basedOn w:val="3"/>
    <w:qFormat/>
    <w:uiPriority w:val="0"/>
    <w:rPr>
      <w:rFonts w:ascii="Arial" w:hAnsi="Arial" w:cs="Arial"/>
      <w:color w:val="000000"/>
      <w:sz w:val="18"/>
      <w:szCs w:val="18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6</TotalTime>
  <ScaleCrop>false</ScaleCrop>
  <LinksUpToDate>false</LinksUpToDate>
  <CharactersWithSpaces>0</CharactersWithSpaces>
  <Application>WPS Office_11.8.2.12085_F1E327BC-269C-435d-A152-05C5408002CA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2026-04-09T01:40:00Z</dcterms:created>
  <dc:creator>申慧</dc:creator>
  <cp:lastModifiedBy>Administrator</cp:lastModifiedBy>
  <dcterms:modified xsi:type="dcterms:W3CDTF">2026-07-14T01:57:50Z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2052-11.8.2.12085</vt:lpwstr>
  </property>
  <property fmtid="{D5CDD505-2E9C-101B-9397-08002B2CF9AE}" pid="3" name="ICV">
    <vt:lpwstr>2AF482B1B2854FD19C542D9010BE5FF6</vt:lpwstr>
  </property>
</Properties>
</file>